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A2D" w:rsidRPr="00644FBB" w:rsidRDefault="002E6A2D" w:rsidP="005566E0">
      <w:pPr>
        <w:pStyle w:val="Heading3"/>
      </w:pPr>
      <w:r w:rsidRPr="00644FBB">
        <w:t>Title</w:t>
      </w:r>
    </w:p>
    <w:p w:rsidR="002E6A2D" w:rsidRDefault="00980398">
      <w:pPr>
        <w:rPr>
          <w:rFonts w:cs="Arial"/>
          <w:szCs w:val="22"/>
        </w:rPr>
      </w:pPr>
      <w:r>
        <w:rPr>
          <w:rFonts w:cs="Arial"/>
          <w:szCs w:val="22"/>
        </w:rPr>
        <w:t>Effect of size on uptake by diffusion</w:t>
      </w:r>
    </w:p>
    <w:p w:rsidR="002E6A2D" w:rsidRPr="00644FBB" w:rsidRDefault="002E6A2D" w:rsidP="005566E0">
      <w:pPr>
        <w:pStyle w:val="Heading3"/>
      </w:pPr>
      <w:r w:rsidRPr="00644FBB">
        <w:t xml:space="preserve">Procedure </w:t>
      </w:r>
    </w:p>
    <w:p w:rsidR="003156D9" w:rsidRDefault="003156D9" w:rsidP="001954FF">
      <w:r>
        <w:t xml:space="preserve">SAFETY: </w:t>
      </w:r>
    </w:p>
    <w:p w:rsidR="00980398" w:rsidRDefault="00980398" w:rsidP="001954FF">
      <w:r>
        <w:t>Take care with the solutions used: wear eye protection and rinse splashes off the skin.</w:t>
      </w:r>
    </w:p>
    <w:p w:rsidR="00D05384" w:rsidRDefault="00D05384" w:rsidP="001954FF">
      <w:pPr>
        <w:pStyle w:val="Heading3"/>
      </w:pPr>
      <w:r>
        <w:t>Investigation</w:t>
      </w:r>
    </w:p>
    <w:p w:rsidR="00EB6EFC" w:rsidRDefault="00EB6EFC" w:rsidP="00EB6EFC">
      <w:pPr>
        <w:numPr>
          <w:ilvl w:val="0"/>
          <w:numId w:val="1"/>
        </w:numPr>
        <w:rPr>
          <w:rFonts w:cs="Arial"/>
          <w:szCs w:val="22"/>
        </w:rPr>
      </w:pPr>
      <w:r>
        <w:rPr>
          <w:rFonts w:cs="Arial"/>
          <w:szCs w:val="22"/>
        </w:rPr>
        <w:t>Collect agar cubes of different sizes – 2 cm x 2 cm, 1 cm x 1 cm and 0.5 cm x 0.5 cm – (or cut cubes from the larger cube provided).</w:t>
      </w:r>
    </w:p>
    <w:p w:rsidR="00EB6EFC" w:rsidRDefault="00EB6EFC" w:rsidP="00EB6EFC">
      <w:pPr>
        <w:numPr>
          <w:ilvl w:val="0"/>
          <w:numId w:val="1"/>
        </w:numPr>
        <w:rPr>
          <w:rFonts w:cs="Arial"/>
          <w:szCs w:val="22"/>
        </w:rPr>
      </w:pPr>
      <w:r>
        <w:rPr>
          <w:rFonts w:cs="Arial"/>
          <w:szCs w:val="22"/>
        </w:rPr>
        <w:t>Place the cubes in a beaker and cover with the diffusing solution.</w:t>
      </w:r>
    </w:p>
    <w:p w:rsidR="00EB6EFC" w:rsidRDefault="00EB6EFC" w:rsidP="00EB6EFC">
      <w:pPr>
        <w:numPr>
          <w:ilvl w:val="0"/>
          <w:numId w:val="1"/>
        </w:numPr>
        <w:rPr>
          <w:rFonts w:cs="Arial"/>
          <w:szCs w:val="22"/>
        </w:rPr>
      </w:pPr>
      <w:r>
        <w:rPr>
          <w:rFonts w:cs="Arial"/>
          <w:szCs w:val="22"/>
        </w:rPr>
        <w:t>Start the stopclock.</w:t>
      </w:r>
    </w:p>
    <w:p w:rsidR="00EB6EFC" w:rsidRDefault="00EB6EFC" w:rsidP="00EB6EFC">
      <w:pPr>
        <w:numPr>
          <w:ilvl w:val="0"/>
          <w:numId w:val="1"/>
        </w:numPr>
        <w:rPr>
          <w:rFonts w:cs="Arial"/>
          <w:szCs w:val="22"/>
        </w:rPr>
      </w:pPr>
      <w:r>
        <w:rPr>
          <w:rFonts w:cs="Arial"/>
          <w:szCs w:val="22"/>
        </w:rPr>
        <w:t>Leave the cubes for 5 minutes</w:t>
      </w:r>
    </w:p>
    <w:p w:rsidR="00EB6EFC" w:rsidRDefault="00EB6EFC" w:rsidP="00EB6EFC">
      <w:pPr>
        <w:numPr>
          <w:ilvl w:val="0"/>
          <w:numId w:val="1"/>
        </w:numPr>
        <w:rPr>
          <w:rFonts w:cs="Arial"/>
          <w:szCs w:val="22"/>
        </w:rPr>
      </w:pPr>
      <w:r>
        <w:rPr>
          <w:rFonts w:cs="Arial"/>
          <w:szCs w:val="22"/>
        </w:rPr>
        <w:t>While you are waiting, complete the table with calculations for each cube. (See student sheet.)</w:t>
      </w:r>
    </w:p>
    <w:p w:rsidR="00EB6EFC" w:rsidRDefault="00EB6EFC" w:rsidP="00EB6EFC">
      <w:pPr>
        <w:numPr>
          <w:ilvl w:val="0"/>
          <w:numId w:val="1"/>
        </w:numPr>
        <w:rPr>
          <w:rFonts w:cs="Arial"/>
          <w:szCs w:val="22"/>
        </w:rPr>
      </w:pPr>
      <w:r>
        <w:rPr>
          <w:rFonts w:cs="Arial"/>
          <w:szCs w:val="22"/>
        </w:rPr>
        <w:t>Pour off the solution. Rinse the cubes in a little water and blot the surfaces of each cube dry with a paper towel.</w:t>
      </w:r>
    </w:p>
    <w:p w:rsidR="00EB6EFC" w:rsidRDefault="00EB6EFC" w:rsidP="00EB6EFC">
      <w:pPr>
        <w:numPr>
          <w:ilvl w:val="0"/>
          <w:numId w:val="1"/>
        </w:numPr>
        <w:rPr>
          <w:rFonts w:cs="Arial"/>
          <w:szCs w:val="22"/>
        </w:rPr>
      </w:pPr>
      <w:r>
        <w:rPr>
          <w:rFonts w:cs="Arial"/>
          <w:szCs w:val="22"/>
        </w:rPr>
        <w:t>Time how long it takes for the acid to change the colour of the indicator in each agar block. If the acid does not penetrate the largest block in the time available, cut the block and measure how far it has penetrated in the time.</w:t>
      </w:r>
    </w:p>
    <w:p w:rsidR="00471722" w:rsidRDefault="00471722" w:rsidP="00C75A35">
      <w:pPr>
        <w:rPr>
          <w:rFonts w:cs="Arial"/>
          <w:szCs w:val="22"/>
        </w:rPr>
      </w:pPr>
    </w:p>
    <w:tbl>
      <w:tblPr>
        <w:tblStyle w:val="TableGrid"/>
        <w:tblW w:w="5416" w:type="pct"/>
        <w:tblLayout w:type="fixed"/>
        <w:tblLook w:val="01E0"/>
      </w:tblPr>
      <w:tblGrid>
        <w:gridCol w:w="949"/>
        <w:gridCol w:w="949"/>
        <w:gridCol w:w="948"/>
        <w:gridCol w:w="924"/>
        <w:gridCol w:w="1090"/>
        <w:gridCol w:w="980"/>
        <w:gridCol w:w="1052"/>
        <w:gridCol w:w="1277"/>
        <w:gridCol w:w="1277"/>
      </w:tblGrid>
      <w:tr w:rsidR="00EB6EFC">
        <w:tc>
          <w:tcPr>
            <w:tcW w:w="502" w:type="pct"/>
          </w:tcPr>
          <w:p w:rsidR="00EB6EFC" w:rsidRDefault="00EB6EFC" w:rsidP="00821094">
            <w:pPr>
              <w:jc w:val="center"/>
              <w:rPr>
                <w:rFonts w:cs="Arial"/>
                <w:szCs w:val="22"/>
              </w:rPr>
            </w:pPr>
            <w:r>
              <w:rPr>
                <w:rFonts w:cs="Arial"/>
                <w:szCs w:val="22"/>
              </w:rPr>
              <w:t>A</w:t>
            </w:r>
          </w:p>
          <w:p w:rsidR="00EB6EFC" w:rsidRDefault="00EB6EFC" w:rsidP="00821094">
            <w:pPr>
              <w:jc w:val="center"/>
              <w:rPr>
                <w:rFonts w:cs="Arial"/>
                <w:szCs w:val="22"/>
              </w:rPr>
            </w:pPr>
          </w:p>
          <w:p w:rsidR="00EB6EFC" w:rsidRPr="00075961" w:rsidRDefault="00EB6EFC" w:rsidP="00821094">
            <w:pPr>
              <w:jc w:val="center"/>
              <w:rPr>
                <w:rFonts w:cs="Arial"/>
                <w:sz w:val="20"/>
                <w:szCs w:val="20"/>
              </w:rPr>
            </w:pPr>
            <w:r w:rsidRPr="00075961">
              <w:rPr>
                <w:rFonts w:cs="Arial"/>
                <w:sz w:val="20"/>
                <w:szCs w:val="20"/>
              </w:rPr>
              <w:t>Length of side of agar cube</w:t>
            </w:r>
          </w:p>
          <w:p w:rsidR="00EB6EFC" w:rsidRDefault="00EB6EFC" w:rsidP="00821094">
            <w:pPr>
              <w:jc w:val="center"/>
              <w:rPr>
                <w:rFonts w:cs="Arial"/>
                <w:szCs w:val="22"/>
              </w:rPr>
            </w:pPr>
            <w:r w:rsidRPr="00075961">
              <w:rPr>
                <w:rFonts w:cs="Arial"/>
                <w:sz w:val="20"/>
                <w:szCs w:val="20"/>
              </w:rPr>
              <w:t>(cm)</w:t>
            </w:r>
          </w:p>
        </w:tc>
        <w:tc>
          <w:tcPr>
            <w:tcW w:w="502" w:type="pct"/>
          </w:tcPr>
          <w:p w:rsidR="00EB6EFC" w:rsidRDefault="00EB6EFC" w:rsidP="00821094">
            <w:pPr>
              <w:jc w:val="center"/>
              <w:rPr>
                <w:rFonts w:cs="Arial"/>
                <w:szCs w:val="22"/>
              </w:rPr>
            </w:pPr>
            <w:r>
              <w:rPr>
                <w:rFonts w:cs="Arial"/>
                <w:szCs w:val="22"/>
              </w:rPr>
              <w:t>B</w:t>
            </w:r>
          </w:p>
          <w:p w:rsidR="00EB6EFC" w:rsidRDefault="00EB6EFC" w:rsidP="00821094">
            <w:pPr>
              <w:jc w:val="center"/>
              <w:rPr>
                <w:rFonts w:cs="Arial"/>
                <w:szCs w:val="22"/>
              </w:rPr>
            </w:pPr>
            <w:r>
              <w:rPr>
                <w:rFonts w:cs="Arial"/>
                <w:szCs w:val="22"/>
              </w:rPr>
              <w:t>= A</w:t>
            </w:r>
            <w:r w:rsidRPr="00471722">
              <w:rPr>
                <w:rFonts w:cs="Arial"/>
                <w:szCs w:val="22"/>
                <w:vertAlign w:val="superscript"/>
              </w:rPr>
              <w:t>2</w:t>
            </w:r>
          </w:p>
          <w:p w:rsidR="00EB6EFC" w:rsidRPr="00075961" w:rsidRDefault="00EB6EFC" w:rsidP="00821094">
            <w:pPr>
              <w:jc w:val="center"/>
              <w:rPr>
                <w:rFonts w:cs="Arial"/>
                <w:sz w:val="20"/>
                <w:szCs w:val="20"/>
              </w:rPr>
            </w:pPr>
            <w:r w:rsidRPr="00075961">
              <w:rPr>
                <w:rFonts w:cs="Arial"/>
                <w:sz w:val="20"/>
                <w:szCs w:val="20"/>
              </w:rPr>
              <w:t>Area of one side of cube</w:t>
            </w:r>
          </w:p>
          <w:p w:rsidR="00EB6EFC" w:rsidRDefault="00EB6EFC" w:rsidP="00821094">
            <w:pPr>
              <w:jc w:val="center"/>
              <w:rPr>
                <w:rFonts w:cs="Arial"/>
                <w:szCs w:val="22"/>
              </w:rPr>
            </w:pPr>
            <w:r w:rsidRPr="00075961">
              <w:rPr>
                <w:rFonts w:cs="Arial"/>
                <w:sz w:val="20"/>
                <w:szCs w:val="20"/>
              </w:rPr>
              <w:t>(cm</w:t>
            </w:r>
            <w:r w:rsidRPr="00075961">
              <w:rPr>
                <w:rFonts w:cs="Arial"/>
                <w:sz w:val="20"/>
                <w:szCs w:val="20"/>
                <w:vertAlign w:val="superscript"/>
              </w:rPr>
              <w:t>2</w:t>
            </w:r>
            <w:r w:rsidRPr="00075961">
              <w:rPr>
                <w:rFonts w:cs="Arial"/>
                <w:sz w:val="20"/>
                <w:szCs w:val="20"/>
              </w:rPr>
              <w:t>)</w:t>
            </w:r>
          </w:p>
        </w:tc>
        <w:tc>
          <w:tcPr>
            <w:tcW w:w="502" w:type="pct"/>
          </w:tcPr>
          <w:p w:rsidR="00EB6EFC" w:rsidRDefault="00EB6EFC" w:rsidP="00821094">
            <w:pPr>
              <w:jc w:val="center"/>
              <w:rPr>
                <w:rFonts w:cs="Arial"/>
                <w:szCs w:val="22"/>
              </w:rPr>
            </w:pPr>
            <w:r>
              <w:rPr>
                <w:rFonts w:cs="Arial"/>
                <w:szCs w:val="22"/>
              </w:rPr>
              <w:t>C</w:t>
            </w:r>
          </w:p>
          <w:p w:rsidR="00EB6EFC" w:rsidRDefault="00EB6EFC" w:rsidP="00821094">
            <w:pPr>
              <w:jc w:val="center"/>
              <w:rPr>
                <w:rFonts w:cs="Arial"/>
                <w:szCs w:val="22"/>
              </w:rPr>
            </w:pPr>
            <w:r>
              <w:rPr>
                <w:rFonts w:cs="Arial"/>
                <w:szCs w:val="22"/>
              </w:rPr>
              <w:t>= 6B</w:t>
            </w:r>
          </w:p>
          <w:p w:rsidR="00EB6EFC" w:rsidRPr="00075961" w:rsidRDefault="00EB6EFC" w:rsidP="00821094">
            <w:pPr>
              <w:jc w:val="center"/>
              <w:rPr>
                <w:rFonts w:cs="Arial"/>
                <w:sz w:val="20"/>
                <w:szCs w:val="20"/>
              </w:rPr>
            </w:pPr>
            <w:r w:rsidRPr="00075961">
              <w:rPr>
                <w:rFonts w:cs="Arial"/>
                <w:sz w:val="20"/>
                <w:szCs w:val="20"/>
              </w:rPr>
              <w:t>Total surface area of cube</w:t>
            </w:r>
          </w:p>
          <w:p w:rsidR="00EB6EFC" w:rsidRDefault="00EB6EFC" w:rsidP="00821094">
            <w:pPr>
              <w:jc w:val="center"/>
              <w:rPr>
                <w:rFonts w:cs="Arial"/>
                <w:szCs w:val="22"/>
              </w:rPr>
            </w:pPr>
            <w:r w:rsidRPr="00075961">
              <w:rPr>
                <w:rFonts w:cs="Arial"/>
                <w:sz w:val="20"/>
                <w:szCs w:val="20"/>
              </w:rPr>
              <w:t>(cm</w:t>
            </w:r>
            <w:r w:rsidRPr="00075961">
              <w:rPr>
                <w:rFonts w:cs="Arial"/>
                <w:sz w:val="20"/>
                <w:szCs w:val="20"/>
                <w:vertAlign w:val="superscript"/>
              </w:rPr>
              <w:t>2</w:t>
            </w:r>
            <w:r w:rsidRPr="00075961">
              <w:rPr>
                <w:rFonts w:cs="Arial"/>
                <w:sz w:val="20"/>
                <w:szCs w:val="20"/>
              </w:rPr>
              <w:t>)</w:t>
            </w:r>
          </w:p>
        </w:tc>
        <w:tc>
          <w:tcPr>
            <w:tcW w:w="489" w:type="pct"/>
          </w:tcPr>
          <w:p w:rsidR="00EB6EFC" w:rsidRDefault="00EB6EFC" w:rsidP="00821094">
            <w:pPr>
              <w:jc w:val="center"/>
              <w:rPr>
                <w:rFonts w:cs="Arial"/>
                <w:szCs w:val="22"/>
              </w:rPr>
            </w:pPr>
            <w:r>
              <w:rPr>
                <w:rFonts w:cs="Arial"/>
                <w:szCs w:val="22"/>
              </w:rPr>
              <w:t>D</w:t>
            </w:r>
          </w:p>
          <w:p w:rsidR="00EB6EFC" w:rsidRDefault="00EB6EFC" w:rsidP="00821094">
            <w:pPr>
              <w:jc w:val="center"/>
              <w:rPr>
                <w:rFonts w:cs="Arial"/>
                <w:szCs w:val="22"/>
              </w:rPr>
            </w:pPr>
            <w:r>
              <w:rPr>
                <w:rFonts w:cs="Arial"/>
                <w:szCs w:val="22"/>
              </w:rPr>
              <w:t>= A</w:t>
            </w:r>
            <w:r w:rsidRPr="00471722">
              <w:rPr>
                <w:rFonts w:cs="Arial"/>
                <w:szCs w:val="22"/>
                <w:vertAlign w:val="superscript"/>
              </w:rPr>
              <w:t>3</w:t>
            </w:r>
          </w:p>
          <w:p w:rsidR="00EB6EFC" w:rsidRPr="00075961" w:rsidRDefault="00EB6EFC" w:rsidP="00821094">
            <w:pPr>
              <w:jc w:val="center"/>
              <w:rPr>
                <w:rFonts w:cs="Arial"/>
                <w:sz w:val="20"/>
                <w:szCs w:val="20"/>
              </w:rPr>
            </w:pPr>
            <w:r w:rsidRPr="00075961">
              <w:rPr>
                <w:rFonts w:cs="Arial"/>
                <w:sz w:val="20"/>
                <w:szCs w:val="20"/>
              </w:rPr>
              <w:t>Volume of cube</w:t>
            </w:r>
          </w:p>
          <w:p w:rsidR="00EB6EFC" w:rsidRDefault="00EB6EFC" w:rsidP="00821094">
            <w:pPr>
              <w:jc w:val="center"/>
              <w:rPr>
                <w:rFonts w:cs="Arial"/>
                <w:szCs w:val="22"/>
              </w:rPr>
            </w:pPr>
            <w:r w:rsidRPr="00075961">
              <w:rPr>
                <w:rFonts w:cs="Arial"/>
                <w:sz w:val="20"/>
                <w:szCs w:val="20"/>
              </w:rPr>
              <w:t>(cm</w:t>
            </w:r>
            <w:r w:rsidRPr="00075961">
              <w:rPr>
                <w:rFonts w:cs="Arial"/>
                <w:sz w:val="20"/>
                <w:szCs w:val="20"/>
                <w:vertAlign w:val="superscript"/>
              </w:rPr>
              <w:t>3</w:t>
            </w:r>
            <w:r w:rsidRPr="00075961">
              <w:rPr>
                <w:rFonts w:cs="Arial"/>
                <w:sz w:val="20"/>
                <w:szCs w:val="20"/>
              </w:rPr>
              <w:t>)</w:t>
            </w:r>
          </w:p>
        </w:tc>
        <w:tc>
          <w:tcPr>
            <w:tcW w:w="577" w:type="pct"/>
          </w:tcPr>
          <w:p w:rsidR="00EB6EFC" w:rsidRDefault="00EB6EFC" w:rsidP="00821094">
            <w:pPr>
              <w:jc w:val="center"/>
              <w:rPr>
                <w:rFonts w:cs="Arial"/>
                <w:szCs w:val="22"/>
              </w:rPr>
            </w:pPr>
            <w:r>
              <w:rPr>
                <w:rFonts w:cs="Arial"/>
                <w:szCs w:val="22"/>
              </w:rPr>
              <w:t>E</w:t>
            </w:r>
          </w:p>
          <w:p w:rsidR="00EB6EFC" w:rsidRDefault="00EB6EFC" w:rsidP="00821094">
            <w:pPr>
              <w:jc w:val="center"/>
              <w:rPr>
                <w:rFonts w:cs="Arial"/>
                <w:szCs w:val="22"/>
              </w:rPr>
            </w:pPr>
            <w:r>
              <w:rPr>
                <w:rFonts w:cs="Arial"/>
                <w:szCs w:val="22"/>
              </w:rPr>
              <w:t>= A/2</w:t>
            </w:r>
          </w:p>
          <w:p w:rsidR="00EB6EFC" w:rsidRPr="00075961" w:rsidRDefault="00EB6EFC" w:rsidP="00821094">
            <w:pPr>
              <w:jc w:val="center"/>
              <w:rPr>
                <w:rFonts w:cs="Arial"/>
                <w:sz w:val="20"/>
                <w:szCs w:val="20"/>
              </w:rPr>
            </w:pPr>
            <w:r w:rsidRPr="00075961">
              <w:rPr>
                <w:rFonts w:cs="Arial"/>
                <w:sz w:val="20"/>
                <w:szCs w:val="20"/>
              </w:rPr>
              <w:t>Shortest distance from edge to middle of cube</w:t>
            </w:r>
          </w:p>
          <w:p w:rsidR="00EB6EFC" w:rsidRDefault="00EB6EFC" w:rsidP="00821094">
            <w:pPr>
              <w:jc w:val="center"/>
              <w:rPr>
                <w:rFonts w:cs="Arial"/>
                <w:szCs w:val="22"/>
              </w:rPr>
            </w:pPr>
            <w:r w:rsidRPr="00075961">
              <w:rPr>
                <w:rFonts w:cs="Arial"/>
                <w:sz w:val="20"/>
                <w:szCs w:val="20"/>
              </w:rPr>
              <w:t>(cm)</w:t>
            </w:r>
          </w:p>
        </w:tc>
        <w:tc>
          <w:tcPr>
            <w:tcW w:w="519" w:type="pct"/>
          </w:tcPr>
          <w:p w:rsidR="00EB6EFC" w:rsidRDefault="00EB6EFC" w:rsidP="00821094">
            <w:pPr>
              <w:jc w:val="center"/>
              <w:rPr>
                <w:rFonts w:cs="Arial"/>
                <w:szCs w:val="22"/>
              </w:rPr>
            </w:pPr>
            <w:r>
              <w:rPr>
                <w:rFonts w:cs="Arial"/>
                <w:szCs w:val="22"/>
              </w:rPr>
              <w:t>F</w:t>
            </w:r>
          </w:p>
          <w:p w:rsidR="00EB6EFC" w:rsidRDefault="00EB6EFC" w:rsidP="00821094">
            <w:pPr>
              <w:jc w:val="center"/>
              <w:rPr>
                <w:rFonts w:cs="Arial"/>
                <w:szCs w:val="22"/>
              </w:rPr>
            </w:pPr>
            <w:r>
              <w:rPr>
                <w:rFonts w:cs="Arial"/>
                <w:szCs w:val="22"/>
              </w:rPr>
              <w:t>=C/D</w:t>
            </w:r>
          </w:p>
          <w:p w:rsidR="00EB6EFC" w:rsidRPr="00075961" w:rsidRDefault="00EB6EFC" w:rsidP="00821094">
            <w:pPr>
              <w:jc w:val="center"/>
              <w:rPr>
                <w:rFonts w:cs="Arial"/>
                <w:sz w:val="20"/>
                <w:szCs w:val="20"/>
              </w:rPr>
            </w:pPr>
            <w:r w:rsidRPr="00075961">
              <w:rPr>
                <w:rFonts w:cs="Arial"/>
                <w:sz w:val="20"/>
                <w:szCs w:val="20"/>
              </w:rPr>
              <w:t>Surface area to volume ratio</w:t>
            </w:r>
          </w:p>
        </w:tc>
        <w:tc>
          <w:tcPr>
            <w:tcW w:w="557" w:type="pct"/>
          </w:tcPr>
          <w:p w:rsidR="00EB6EFC" w:rsidRDefault="00EB6EFC" w:rsidP="00821094">
            <w:pPr>
              <w:jc w:val="center"/>
              <w:rPr>
                <w:rFonts w:cs="Arial"/>
                <w:szCs w:val="22"/>
              </w:rPr>
            </w:pPr>
            <w:r>
              <w:rPr>
                <w:rFonts w:cs="Arial"/>
                <w:szCs w:val="22"/>
              </w:rPr>
              <w:t>G</w:t>
            </w:r>
          </w:p>
          <w:p w:rsidR="00EB6EFC" w:rsidRDefault="00EB6EFC" w:rsidP="00821094">
            <w:pPr>
              <w:jc w:val="center"/>
              <w:rPr>
                <w:rFonts w:cs="Arial"/>
                <w:sz w:val="20"/>
                <w:szCs w:val="20"/>
              </w:rPr>
            </w:pPr>
          </w:p>
          <w:p w:rsidR="00EB6EFC" w:rsidRPr="00075961" w:rsidRDefault="00EB6EFC" w:rsidP="00821094">
            <w:pPr>
              <w:jc w:val="center"/>
              <w:rPr>
                <w:rFonts w:cs="Arial"/>
                <w:sz w:val="20"/>
                <w:szCs w:val="20"/>
              </w:rPr>
            </w:pPr>
            <w:r w:rsidRPr="00075961">
              <w:rPr>
                <w:rFonts w:cs="Arial"/>
                <w:sz w:val="20"/>
                <w:szCs w:val="20"/>
              </w:rPr>
              <w:t>Time taken to diffuse to centre of cube</w:t>
            </w:r>
          </w:p>
          <w:p w:rsidR="00EB6EFC" w:rsidRDefault="00EB6EFC" w:rsidP="00821094">
            <w:pPr>
              <w:jc w:val="center"/>
              <w:rPr>
                <w:rFonts w:cs="Arial"/>
                <w:szCs w:val="22"/>
              </w:rPr>
            </w:pPr>
            <w:r w:rsidRPr="00075961">
              <w:rPr>
                <w:rFonts w:cs="Arial"/>
                <w:sz w:val="20"/>
                <w:szCs w:val="20"/>
              </w:rPr>
              <w:t>(min)</w:t>
            </w:r>
          </w:p>
        </w:tc>
        <w:tc>
          <w:tcPr>
            <w:tcW w:w="676" w:type="pct"/>
          </w:tcPr>
          <w:p w:rsidR="00EB6EFC" w:rsidRDefault="00EB6EFC" w:rsidP="00821094">
            <w:pPr>
              <w:jc w:val="center"/>
              <w:rPr>
                <w:rFonts w:cs="Arial"/>
                <w:szCs w:val="22"/>
              </w:rPr>
            </w:pPr>
            <w:r>
              <w:rPr>
                <w:rFonts w:cs="Arial"/>
                <w:szCs w:val="22"/>
              </w:rPr>
              <w:t>H</w:t>
            </w:r>
          </w:p>
          <w:p w:rsidR="00EB6EFC" w:rsidRDefault="00EB6EFC" w:rsidP="00821094">
            <w:pPr>
              <w:jc w:val="center"/>
              <w:rPr>
                <w:rFonts w:cs="Arial"/>
                <w:szCs w:val="22"/>
              </w:rPr>
            </w:pPr>
          </w:p>
          <w:p w:rsidR="00EB6EFC" w:rsidRPr="00075961" w:rsidRDefault="00EB6EFC" w:rsidP="00821094">
            <w:pPr>
              <w:jc w:val="center"/>
              <w:rPr>
                <w:rFonts w:cs="Arial"/>
                <w:sz w:val="20"/>
                <w:szCs w:val="20"/>
              </w:rPr>
            </w:pPr>
            <w:r w:rsidRPr="00075961">
              <w:rPr>
                <w:rFonts w:cs="Arial"/>
                <w:sz w:val="20"/>
                <w:szCs w:val="20"/>
              </w:rPr>
              <w:t>Distance solution diffuses in 5 minutes</w:t>
            </w:r>
          </w:p>
          <w:p w:rsidR="00EB6EFC" w:rsidRDefault="00EB6EFC" w:rsidP="00821094">
            <w:pPr>
              <w:jc w:val="center"/>
              <w:rPr>
                <w:rFonts w:cs="Arial"/>
                <w:szCs w:val="22"/>
              </w:rPr>
            </w:pPr>
            <w:r w:rsidRPr="00075961">
              <w:rPr>
                <w:rFonts w:cs="Arial"/>
                <w:sz w:val="20"/>
                <w:szCs w:val="20"/>
              </w:rPr>
              <w:t>(cm)</w:t>
            </w:r>
          </w:p>
        </w:tc>
        <w:tc>
          <w:tcPr>
            <w:tcW w:w="676" w:type="pct"/>
          </w:tcPr>
          <w:p w:rsidR="00EB6EFC" w:rsidRDefault="00EB6EFC" w:rsidP="00821094">
            <w:pPr>
              <w:jc w:val="center"/>
              <w:rPr>
                <w:rFonts w:cs="Arial"/>
                <w:szCs w:val="22"/>
              </w:rPr>
            </w:pPr>
            <w:r>
              <w:rPr>
                <w:rFonts w:cs="Arial"/>
                <w:szCs w:val="22"/>
              </w:rPr>
              <w:t>I</w:t>
            </w:r>
          </w:p>
          <w:p w:rsidR="00EB6EFC" w:rsidRDefault="00EB6EFC" w:rsidP="00821094">
            <w:pPr>
              <w:jc w:val="center"/>
              <w:rPr>
                <w:rFonts w:cs="Arial"/>
                <w:szCs w:val="22"/>
              </w:rPr>
            </w:pPr>
            <w:r>
              <w:rPr>
                <w:rFonts w:cs="Arial"/>
                <w:szCs w:val="22"/>
              </w:rPr>
              <w:t>=H/5</w:t>
            </w:r>
          </w:p>
          <w:p w:rsidR="00EB6EFC" w:rsidRDefault="00EB6EFC" w:rsidP="00821094">
            <w:pPr>
              <w:jc w:val="center"/>
              <w:rPr>
                <w:rFonts w:cs="Arial"/>
                <w:szCs w:val="22"/>
              </w:rPr>
            </w:pPr>
            <w:r>
              <w:rPr>
                <w:rFonts w:cs="Arial"/>
                <w:szCs w:val="22"/>
              </w:rPr>
              <w:t>or E/G</w:t>
            </w:r>
          </w:p>
          <w:p w:rsidR="00EB6EFC" w:rsidRDefault="00EB6EFC" w:rsidP="00821094">
            <w:pPr>
              <w:jc w:val="center"/>
              <w:rPr>
                <w:rFonts w:cs="Arial"/>
                <w:sz w:val="20"/>
                <w:szCs w:val="20"/>
              </w:rPr>
            </w:pPr>
          </w:p>
          <w:p w:rsidR="00EB6EFC" w:rsidRPr="00075961" w:rsidRDefault="00EB6EFC" w:rsidP="00821094">
            <w:pPr>
              <w:jc w:val="center"/>
              <w:rPr>
                <w:rFonts w:cs="Arial"/>
                <w:sz w:val="20"/>
                <w:szCs w:val="20"/>
              </w:rPr>
            </w:pPr>
            <w:r w:rsidRPr="00075961">
              <w:rPr>
                <w:rFonts w:cs="Arial"/>
                <w:sz w:val="20"/>
                <w:szCs w:val="20"/>
              </w:rPr>
              <w:t>Rate of diffusion</w:t>
            </w:r>
          </w:p>
          <w:p w:rsidR="00EB6EFC" w:rsidRPr="00075961" w:rsidRDefault="00EB6EFC" w:rsidP="00821094">
            <w:pPr>
              <w:jc w:val="center"/>
              <w:rPr>
                <w:rFonts w:cs="Arial"/>
                <w:sz w:val="20"/>
                <w:szCs w:val="20"/>
              </w:rPr>
            </w:pPr>
            <w:r w:rsidRPr="00075961">
              <w:rPr>
                <w:rFonts w:cs="Arial"/>
                <w:sz w:val="20"/>
                <w:szCs w:val="20"/>
              </w:rPr>
              <w:t>(cm/min)</w:t>
            </w:r>
          </w:p>
          <w:p w:rsidR="00EB6EFC" w:rsidRDefault="00EB6EFC" w:rsidP="00821094">
            <w:pPr>
              <w:jc w:val="center"/>
              <w:rPr>
                <w:rFonts w:cs="Arial"/>
                <w:szCs w:val="22"/>
              </w:rPr>
            </w:pPr>
          </w:p>
        </w:tc>
      </w:tr>
      <w:tr w:rsidR="00EB6EFC">
        <w:tc>
          <w:tcPr>
            <w:tcW w:w="502" w:type="pct"/>
          </w:tcPr>
          <w:p w:rsidR="00EB6EFC" w:rsidRDefault="00EB6EFC" w:rsidP="00821094">
            <w:pPr>
              <w:rPr>
                <w:rFonts w:cs="Arial"/>
                <w:szCs w:val="22"/>
              </w:rPr>
            </w:pPr>
            <w:r>
              <w:rPr>
                <w:rFonts w:cs="Arial"/>
                <w:szCs w:val="22"/>
              </w:rPr>
              <w:t>2</w:t>
            </w:r>
          </w:p>
        </w:tc>
        <w:tc>
          <w:tcPr>
            <w:tcW w:w="502" w:type="pct"/>
          </w:tcPr>
          <w:p w:rsidR="00EB6EFC" w:rsidRDefault="00EB6EFC" w:rsidP="00821094">
            <w:pPr>
              <w:rPr>
                <w:rFonts w:cs="Arial"/>
                <w:szCs w:val="22"/>
              </w:rPr>
            </w:pPr>
          </w:p>
        </w:tc>
        <w:tc>
          <w:tcPr>
            <w:tcW w:w="502" w:type="pct"/>
          </w:tcPr>
          <w:p w:rsidR="00EB6EFC" w:rsidRDefault="00EB6EFC" w:rsidP="00821094">
            <w:pPr>
              <w:rPr>
                <w:rFonts w:cs="Arial"/>
                <w:szCs w:val="22"/>
              </w:rPr>
            </w:pPr>
          </w:p>
        </w:tc>
        <w:tc>
          <w:tcPr>
            <w:tcW w:w="489" w:type="pct"/>
          </w:tcPr>
          <w:p w:rsidR="00EB6EFC" w:rsidRDefault="00EB6EFC" w:rsidP="00821094">
            <w:pPr>
              <w:rPr>
                <w:rFonts w:cs="Arial"/>
                <w:szCs w:val="22"/>
              </w:rPr>
            </w:pPr>
          </w:p>
        </w:tc>
        <w:tc>
          <w:tcPr>
            <w:tcW w:w="577" w:type="pct"/>
          </w:tcPr>
          <w:p w:rsidR="00EB6EFC" w:rsidRDefault="00EB6EFC" w:rsidP="00821094">
            <w:pPr>
              <w:rPr>
                <w:rFonts w:cs="Arial"/>
                <w:szCs w:val="22"/>
              </w:rPr>
            </w:pPr>
          </w:p>
        </w:tc>
        <w:tc>
          <w:tcPr>
            <w:tcW w:w="519" w:type="pct"/>
          </w:tcPr>
          <w:p w:rsidR="00EB6EFC" w:rsidRDefault="00EB6EFC" w:rsidP="00821094">
            <w:pPr>
              <w:rPr>
                <w:rFonts w:cs="Arial"/>
                <w:szCs w:val="22"/>
              </w:rPr>
            </w:pPr>
          </w:p>
        </w:tc>
        <w:tc>
          <w:tcPr>
            <w:tcW w:w="557" w:type="pct"/>
          </w:tcPr>
          <w:p w:rsidR="00EB6EFC" w:rsidRDefault="00EB6EFC" w:rsidP="00821094">
            <w:pPr>
              <w:rPr>
                <w:rFonts w:cs="Arial"/>
                <w:szCs w:val="22"/>
              </w:rPr>
            </w:pPr>
          </w:p>
        </w:tc>
        <w:tc>
          <w:tcPr>
            <w:tcW w:w="676" w:type="pct"/>
          </w:tcPr>
          <w:p w:rsidR="00EB6EFC" w:rsidRDefault="00EB6EFC" w:rsidP="00821094">
            <w:pPr>
              <w:rPr>
                <w:rFonts w:cs="Arial"/>
                <w:szCs w:val="22"/>
              </w:rPr>
            </w:pPr>
          </w:p>
        </w:tc>
        <w:tc>
          <w:tcPr>
            <w:tcW w:w="676" w:type="pct"/>
          </w:tcPr>
          <w:p w:rsidR="00EB6EFC" w:rsidRDefault="00EB6EFC" w:rsidP="00821094">
            <w:pPr>
              <w:rPr>
                <w:rFonts w:cs="Arial"/>
                <w:szCs w:val="22"/>
              </w:rPr>
            </w:pPr>
          </w:p>
        </w:tc>
      </w:tr>
      <w:tr w:rsidR="00EB6EFC">
        <w:tc>
          <w:tcPr>
            <w:tcW w:w="502" w:type="pct"/>
          </w:tcPr>
          <w:p w:rsidR="00EB6EFC" w:rsidRDefault="00EB6EFC" w:rsidP="00821094">
            <w:pPr>
              <w:rPr>
                <w:rFonts w:cs="Arial"/>
                <w:szCs w:val="22"/>
              </w:rPr>
            </w:pPr>
            <w:r>
              <w:rPr>
                <w:rFonts w:cs="Arial"/>
                <w:szCs w:val="22"/>
              </w:rPr>
              <w:t>1</w:t>
            </w:r>
          </w:p>
        </w:tc>
        <w:tc>
          <w:tcPr>
            <w:tcW w:w="502" w:type="pct"/>
          </w:tcPr>
          <w:p w:rsidR="00EB6EFC" w:rsidRDefault="00EB6EFC" w:rsidP="00821094">
            <w:pPr>
              <w:rPr>
                <w:rFonts w:cs="Arial"/>
                <w:szCs w:val="22"/>
              </w:rPr>
            </w:pPr>
          </w:p>
        </w:tc>
        <w:tc>
          <w:tcPr>
            <w:tcW w:w="502" w:type="pct"/>
          </w:tcPr>
          <w:p w:rsidR="00EB6EFC" w:rsidRDefault="00EB6EFC" w:rsidP="00821094">
            <w:pPr>
              <w:rPr>
                <w:rFonts w:cs="Arial"/>
                <w:szCs w:val="22"/>
              </w:rPr>
            </w:pPr>
          </w:p>
        </w:tc>
        <w:tc>
          <w:tcPr>
            <w:tcW w:w="489" w:type="pct"/>
          </w:tcPr>
          <w:p w:rsidR="00EB6EFC" w:rsidRDefault="00EB6EFC" w:rsidP="00821094">
            <w:pPr>
              <w:rPr>
                <w:rFonts w:cs="Arial"/>
                <w:szCs w:val="22"/>
              </w:rPr>
            </w:pPr>
          </w:p>
        </w:tc>
        <w:tc>
          <w:tcPr>
            <w:tcW w:w="577" w:type="pct"/>
          </w:tcPr>
          <w:p w:rsidR="00EB6EFC" w:rsidRDefault="00EB6EFC" w:rsidP="00821094">
            <w:pPr>
              <w:rPr>
                <w:rFonts w:cs="Arial"/>
                <w:szCs w:val="22"/>
              </w:rPr>
            </w:pPr>
          </w:p>
        </w:tc>
        <w:tc>
          <w:tcPr>
            <w:tcW w:w="519" w:type="pct"/>
          </w:tcPr>
          <w:p w:rsidR="00EB6EFC" w:rsidRDefault="00EB6EFC" w:rsidP="00821094">
            <w:pPr>
              <w:rPr>
                <w:rFonts w:cs="Arial"/>
                <w:szCs w:val="22"/>
              </w:rPr>
            </w:pPr>
          </w:p>
        </w:tc>
        <w:tc>
          <w:tcPr>
            <w:tcW w:w="557" w:type="pct"/>
          </w:tcPr>
          <w:p w:rsidR="00EB6EFC" w:rsidRDefault="00EB6EFC" w:rsidP="00821094">
            <w:pPr>
              <w:rPr>
                <w:rFonts w:cs="Arial"/>
                <w:szCs w:val="22"/>
              </w:rPr>
            </w:pPr>
          </w:p>
        </w:tc>
        <w:tc>
          <w:tcPr>
            <w:tcW w:w="676" w:type="pct"/>
          </w:tcPr>
          <w:p w:rsidR="00EB6EFC" w:rsidRDefault="00EB6EFC" w:rsidP="00821094">
            <w:pPr>
              <w:rPr>
                <w:rFonts w:cs="Arial"/>
                <w:szCs w:val="22"/>
              </w:rPr>
            </w:pPr>
          </w:p>
        </w:tc>
        <w:tc>
          <w:tcPr>
            <w:tcW w:w="676" w:type="pct"/>
          </w:tcPr>
          <w:p w:rsidR="00EB6EFC" w:rsidRDefault="00EB6EFC" w:rsidP="00821094">
            <w:pPr>
              <w:rPr>
                <w:rFonts w:cs="Arial"/>
                <w:szCs w:val="22"/>
              </w:rPr>
            </w:pPr>
          </w:p>
        </w:tc>
      </w:tr>
      <w:tr w:rsidR="00EB6EFC">
        <w:tc>
          <w:tcPr>
            <w:tcW w:w="502" w:type="pct"/>
          </w:tcPr>
          <w:p w:rsidR="00EB6EFC" w:rsidRDefault="00EB6EFC" w:rsidP="00821094">
            <w:pPr>
              <w:rPr>
                <w:rFonts w:cs="Arial"/>
                <w:szCs w:val="22"/>
              </w:rPr>
            </w:pPr>
            <w:r>
              <w:rPr>
                <w:rFonts w:cs="Arial"/>
                <w:szCs w:val="22"/>
              </w:rPr>
              <w:t>0.5</w:t>
            </w:r>
          </w:p>
        </w:tc>
        <w:tc>
          <w:tcPr>
            <w:tcW w:w="502" w:type="pct"/>
          </w:tcPr>
          <w:p w:rsidR="00EB6EFC" w:rsidRDefault="00EB6EFC" w:rsidP="00821094">
            <w:pPr>
              <w:rPr>
                <w:rFonts w:cs="Arial"/>
                <w:szCs w:val="22"/>
              </w:rPr>
            </w:pPr>
          </w:p>
        </w:tc>
        <w:tc>
          <w:tcPr>
            <w:tcW w:w="502" w:type="pct"/>
          </w:tcPr>
          <w:p w:rsidR="00EB6EFC" w:rsidRDefault="00EB6EFC" w:rsidP="00821094">
            <w:pPr>
              <w:rPr>
                <w:rFonts w:cs="Arial"/>
                <w:szCs w:val="22"/>
              </w:rPr>
            </w:pPr>
          </w:p>
        </w:tc>
        <w:tc>
          <w:tcPr>
            <w:tcW w:w="489" w:type="pct"/>
          </w:tcPr>
          <w:p w:rsidR="00EB6EFC" w:rsidRDefault="00EB6EFC" w:rsidP="00821094">
            <w:pPr>
              <w:rPr>
                <w:rFonts w:cs="Arial"/>
                <w:szCs w:val="22"/>
              </w:rPr>
            </w:pPr>
          </w:p>
        </w:tc>
        <w:tc>
          <w:tcPr>
            <w:tcW w:w="577" w:type="pct"/>
          </w:tcPr>
          <w:p w:rsidR="00EB6EFC" w:rsidRDefault="00EB6EFC" w:rsidP="00821094">
            <w:pPr>
              <w:rPr>
                <w:rFonts w:cs="Arial"/>
                <w:szCs w:val="22"/>
              </w:rPr>
            </w:pPr>
          </w:p>
        </w:tc>
        <w:tc>
          <w:tcPr>
            <w:tcW w:w="519" w:type="pct"/>
          </w:tcPr>
          <w:p w:rsidR="00EB6EFC" w:rsidRDefault="00EB6EFC" w:rsidP="00821094">
            <w:pPr>
              <w:rPr>
                <w:rFonts w:cs="Arial"/>
                <w:szCs w:val="22"/>
              </w:rPr>
            </w:pPr>
          </w:p>
        </w:tc>
        <w:tc>
          <w:tcPr>
            <w:tcW w:w="557" w:type="pct"/>
          </w:tcPr>
          <w:p w:rsidR="00EB6EFC" w:rsidRDefault="00EB6EFC" w:rsidP="00821094">
            <w:pPr>
              <w:rPr>
                <w:rFonts w:cs="Arial"/>
                <w:szCs w:val="22"/>
              </w:rPr>
            </w:pPr>
          </w:p>
        </w:tc>
        <w:tc>
          <w:tcPr>
            <w:tcW w:w="676" w:type="pct"/>
          </w:tcPr>
          <w:p w:rsidR="00EB6EFC" w:rsidRDefault="00EB6EFC" w:rsidP="00821094">
            <w:pPr>
              <w:rPr>
                <w:rFonts w:cs="Arial"/>
                <w:szCs w:val="22"/>
              </w:rPr>
            </w:pPr>
          </w:p>
        </w:tc>
        <w:tc>
          <w:tcPr>
            <w:tcW w:w="676" w:type="pct"/>
          </w:tcPr>
          <w:p w:rsidR="00EB6EFC" w:rsidRDefault="00EB6EFC" w:rsidP="00821094">
            <w:pPr>
              <w:rPr>
                <w:rFonts w:cs="Arial"/>
                <w:szCs w:val="22"/>
              </w:rPr>
            </w:pPr>
          </w:p>
        </w:tc>
      </w:tr>
    </w:tbl>
    <w:p w:rsidR="001954FF" w:rsidRDefault="00DE780E" w:rsidP="00DE780E">
      <w:pPr>
        <w:pStyle w:val="Heading3"/>
      </w:pPr>
      <w:r>
        <w:t>Questions</w:t>
      </w:r>
    </w:p>
    <w:p w:rsidR="001954FF" w:rsidRPr="00644FBB" w:rsidRDefault="001954FF">
      <w:pPr>
        <w:rPr>
          <w:rFonts w:cs="Arial"/>
          <w:szCs w:val="22"/>
        </w:rPr>
      </w:pPr>
    </w:p>
    <w:p w:rsidR="00496495" w:rsidRDefault="00496495" w:rsidP="00DE780E">
      <w:pPr>
        <w:numPr>
          <w:ilvl w:val="0"/>
          <w:numId w:val="6"/>
        </w:numPr>
      </w:pPr>
      <w:r>
        <w:t>Compare the surface area of the 0.5 cm block to the 1 cm block.</w:t>
      </w:r>
    </w:p>
    <w:p w:rsidR="00496495" w:rsidRDefault="00496495" w:rsidP="00496495">
      <w:pPr>
        <w:ind w:left="567"/>
      </w:pPr>
      <w:r>
        <w:t xml:space="preserve">Compare the surface area of the 1 cm block to the 2 cm block. </w:t>
      </w:r>
    </w:p>
    <w:p w:rsidR="00821317" w:rsidRDefault="00496495" w:rsidP="00496495">
      <w:pPr>
        <w:ind w:left="567"/>
      </w:pPr>
      <w:r>
        <w:t xml:space="preserve">In each case the length </w:t>
      </w:r>
      <w:r w:rsidR="00EB6EFC">
        <w:t xml:space="preserve">of the side of the block </w:t>
      </w:r>
      <w:r>
        <w:t>doubles. What happens to the surface area?</w:t>
      </w:r>
    </w:p>
    <w:p w:rsidR="00496495" w:rsidRDefault="00496495" w:rsidP="00496495">
      <w:pPr>
        <w:numPr>
          <w:ilvl w:val="0"/>
          <w:numId w:val="6"/>
        </w:numPr>
      </w:pPr>
      <w:r>
        <w:t>Compare the volume of the 0.5 cm block to the 1 cm block.</w:t>
      </w:r>
    </w:p>
    <w:p w:rsidR="00496495" w:rsidRDefault="00496495" w:rsidP="00496495">
      <w:pPr>
        <w:ind w:left="567"/>
      </w:pPr>
      <w:r>
        <w:t xml:space="preserve">Compare the volume of the 1 cm block to the 2 cm block. </w:t>
      </w:r>
    </w:p>
    <w:p w:rsidR="00496495" w:rsidRDefault="00496495" w:rsidP="00496495">
      <w:pPr>
        <w:ind w:left="567"/>
      </w:pPr>
      <w:r>
        <w:t xml:space="preserve">In each case the length </w:t>
      </w:r>
      <w:r w:rsidR="00EB6EFC">
        <w:t xml:space="preserve">of the side of the block </w:t>
      </w:r>
      <w:r>
        <w:t>doubles. What happens to the volume?</w:t>
      </w:r>
    </w:p>
    <w:p w:rsidR="00496495" w:rsidRDefault="00496495" w:rsidP="00496495">
      <w:pPr>
        <w:numPr>
          <w:ilvl w:val="0"/>
          <w:numId w:val="6"/>
        </w:numPr>
      </w:pPr>
      <w:r>
        <w:t>Compare the surface area to volume ratio of the 0.5 cm block to the 1 cm block.</w:t>
      </w:r>
    </w:p>
    <w:p w:rsidR="00496495" w:rsidRDefault="00496495" w:rsidP="00496495">
      <w:pPr>
        <w:ind w:left="567"/>
      </w:pPr>
      <w:r>
        <w:t xml:space="preserve">Compare the surface area to volume ratio of the 1 cm block to the 2 cm block. </w:t>
      </w:r>
    </w:p>
    <w:p w:rsidR="00496495" w:rsidRDefault="00496495" w:rsidP="00496495">
      <w:pPr>
        <w:ind w:left="567"/>
      </w:pPr>
      <w:r>
        <w:t xml:space="preserve">In each case the length </w:t>
      </w:r>
      <w:r w:rsidR="00EB6EFC">
        <w:t xml:space="preserve">of the side of the block </w:t>
      </w:r>
      <w:r>
        <w:t>doubles. What happens to the surface area to volume ratio?</w:t>
      </w:r>
    </w:p>
    <w:p w:rsidR="00906DAA" w:rsidRDefault="00906DAA" w:rsidP="00DE780E">
      <w:pPr>
        <w:numPr>
          <w:ilvl w:val="0"/>
          <w:numId w:val="6"/>
        </w:numPr>
      </w:pPr>
      <w:r>
        <w:t>Is there any difference in the rate of diffusion as the size of the agar cubes increases?</w:t>
      </w:r>
    </w:p>
    <w:p w:rsidR="0013247E" w:rsidRDefault="00906DAA" w:rsidP="0013247E">
      <w:pPr>
        <w:numPr>
          <w:ilvl w:val="0"/>
          <w:numId w:val="6"/>
        </w:numPr>
      </w:pPr>
      <w:r>
        <w:t xml:space="preserve">The volume of a living organism is proportional to the number of cells in its body. Each cell needs oxygen and nutrients and needs to get rid of metabolic waste products such as carbon dioxide. The smallest organisms can absorb nutrients and get rid of waste by diffusion through their outer membranes. Do you think larger organisms can do the same? Why? </w:t>
      </w:r>
    </w:p>
    <w:p w:rsidR="0013247E" w:rsidRDefault="0013247E" w:rsidP="0013247E">
      <w:pPr>
        <w:numPr>
          <w:ilvl w:val="0"/>
          <w:numId w:val="6"/>
        </w:numPr>
      </w:pPr>
      <w:r>
        <w:t xml:space="preserve">Should this procedure have a control? If so, what would it be? </w:t>
      </w:r>
    </w:p>
    <w:p w:rsidR="00B74C5C" w:rsidRDefault="007E240B" w:rsidP="00BF38B6">
      <w:pPr>
        <w:pStyle w:val="Heading3"/>
      </w:pPr>
      <w:r>
        <w:br w:type="page"/>
      </w:r>
      <w:r w:rsidR="00BF38B6">
        <w:lastRenderedPageBreak/>
        <w:t>Answers</w:t>
      </w:r>
    </w:p>
    <w:p w:rsidR="00906DAA" w:rsidRDefault="00F51001" w:rsidP="00BF38B6">
      <w:pPr>
        <w:numPr>
          <w:ilvl w:val="0"/>
          <w:numId w:val="13"/>
        </w:numPr>
      </w:pPr>
      <w:r>
        <w:t>As length doubles, s</w:t>
      </w:r>
      <w:r w:rsidR="00906DAA">
        <w:t xml:space="preserve">urface area </w:t>
      </w:r>
      <w:r>
        <w:t>multiplies by 4.</w:t>
      </w:r>
    </w:p>
    <w:p w:rsidR="00906DAA" w:rsidRDefault="00F51001" w:rsidP="00BF38B6">
      <w:pPr>
        <w:numPr>
          <w:ilvl w:val="0"/>
          <w:numId w:val="13"/>
        </w:numPr>
      </w:pPr>
      <w:r>
        <w:t>As length doubles, v</w:t>
      </w:r>
      <w:r w:rsidR="00906DAA">
        <w:t xml:space="preserve">olume multiplies by </w:t>
      </w:r>
      <w:r>
        <w:t>8.</w:t>
      </w:r>
    </w:p>
    <w:p w:rsidR="00906DAA" w:rsidRDefault="00F51001" w:rsidP="00BF38B6">
      <w:pPr>
        <w:numPr>
          <w:ilvl w:val="0"/>
          <w:numId w:val="13"/>
        </w:numPr>
      </w:pPr>
      <w:r>
        <w:t>As length doubles, t</w:t>
      </w:r>
      <w:r w:rsidR="00906DAA">
        <w:t>he surface area to volume ratio halves</w:t>
      </w:r>
      <w:r>
        <w:t>.</w:t>
      </w:r>
    </w:p>
    <w:p w:rsidR="00906DAA" w:rsidRDefault="00906DAA" w:rsidP="00BF38B6">
      <w:pPr>
        <w:numPr>
          <w:ilvl w:val="0"/>
          <w:numId w:val="13"/>
        </w:numPr>
      </w:pPr>
      <w:r>
        <w:t>The rate of diffusion is the same for each cube.</w:t>
      </w:r>
    </w:p>
    <w:p w:rsidR="00821317" w:rsidRDefault="00906DAA" w:rsidP="00BF38B6">
      <w:pPr>
        <w:numPr>
          <w:ilvl w:val="0"/>
          <w:numId w:val="13"/>
        </w:numPr>
      </w:pPr>
      <w:r>
        <w:t>Larger organisms would not be able to get all the nutrients they need, or get rid of all their waste products by diffusion as there is not enough surface area for each cell. The rate of diffusion cannot be increased so this will limit the size of the organism unless it has specialised gas exchange surfaces or other mechanisms.</w:t>
      </w:r>
    </w:p>
    <w:p w:rsidR="0013247E" w:rsidRDefault="0013247E" w:rsidP="00BF38B6">
      <w:pPr>
        <w:numPr>
          <w:ilvl w:val="0"/>
          <w:numId w:val="13"/>
        </w:numPr>
      </w:pPr>
      <w:r>
        <w:t>Any sensible suggestion – leave a cube in water, or on a piece of filter paper so you can be sure the change in indicator is due to diffusion of the surrounding solution inwards, not the effect of time on the cubes.</w:t>
      </w:r>
    </w:p>
    <w:p w:rsidR="001954FF" w:rsidRDefault="001954FF" w:rsidP="003D5978">
      <w:pPr>
        <w:pStyle w:val="Notes"/>
      </w:pPr>
    </w:p>
    <w:p w:rsidR="001954FF" w:rsidRDefault="001954FF" w:rsidP="003D5978">
      <w:pPr>
        <w:pStyle w:val="Notes"/>
      </w:pPr>
    </w:p>
    <w:p w:rsidR="001954FF" w:rsidRDefault="001954FF" w:rsidP="003D5978">
      <w:pPr>
        <w:pStyle w:val="Notes"/>
      </w:pPr>
    </w:p>
    <w:p w:rsidR="001954FF" w:rsidRDefault="001954FF" w:rsidP="003D5978">
      <w:pPr>
        <w:pStyle w:val="Notes"/>
      </w:pPr>
    </w:p>
    <w:sectPr w:rsidR="001954FF" w:rsidSect="000F3C92">
      <w:headerReference w:type="default" r:id="rId7"/>
      <w:pgSz w:w="11906" w:h="16838" w:code="9"/>
      <w:pgMar w:top="1293" w:right="170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094" w:rsidRDefault="00821094">
      <w:r>
        <w:separator/>
      </w:r>
    </w:p>
  </w:endnote>
  <w:endnote w:type="continuationSeparator" w:id="0">
    <w:p w:rsidR="00821094" w:rsidRDefault="0082109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094" w:rsidRDefault="00821094">
      <w:r>
        <w:separator/>
      </w:r>
    </w:p>
  </w:footnote>
  <w:footnote w:type="continuationSeparator" w:id="0">
    <w:p w:rsidR="00821094" w:rsidRDefault="008210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2C0" w:rsidRPr="00980398" w:rsidRDefault="00980398" w:rsidP="00980398">
    <w:pPr>
      <w:jc w:val="right"/>
      <w:rPr>
        <w:rStyle w:val="PageNumber"/>
        <w:sz w:val="20"/>
        <w:szCs w:val="20"/>
      </w:rPr>
    </w:pPr>
    <w:r w:rsidRPr="00980398">
      <w:t>Effect of size on uptake by diffusion</w:t>
    </w:r>
    <w:r>
      <w:t xml:space="preserve">. </w:t>
    </w:r>
    <w:r w:rsidR="007102C0" w:rsidRPr="00980398">
      <w:rPr>
        <w:rStyle w:val="PageNumber"/>
        <w:sz w:val="20"/>
        <w:szCs w:val="20"/>
      </w:rPr>
      <w:t>Student notes</w:t>
    </w:r>
  </w:p>
  <w:p w:rsidR="002E6A2D" w:rsidRDefault="00980398">
    <w:pPr>
      <w:pStyle w:val="Header"/>
      <w:jc w:val="right"/>
      <w:rPr>
        <w:sz w:val="20"/>
      </w:rPr>
    </w:pPr>
    <w:r>
      <w:rPr>
        <w:rStyle w:val="PageNumber"/>
        <w:sz w:val="20"/>
      </w:rPr>
      <w:t xml:space="preserve">From SNAB 2.3. </w:t>
    </w:r>
    <w:r w:rsidR="009F1C36">
      <w:rPr>
        <w:rStyle w:val="PageNumber"/>
        <w:sz w:val="20"/>
      </w:rPr>
      <w:t>C</w:t>
    </w:r>
    <w:r w:rsidR="00AF5F9E">
      <w:rPr>
        <w:rStyle w:val="PageNumber"/>
        <w:sz w:val="20"/>
      </w:rPr>
      <w:t>arol</w:t>
    </w:r>
    <w:r w:rsidR="009F1C36">
      <w:rPr>
        <w:rStyle w:val="PageNumber"/>
        <w:sz w:val="20"/>
      </w:rPr>
      <w:t xml:space="preserve"> Levick</w:t>
    </w:r>
    <w:r w:rsidR="00644FBB">
      <w:rPr>
        <w:rStyle w:val="PageNumber"/>
        <w:sz w:val="20"/>
      </w:rPr>
      <w:t xml:space="preserve">, </w:t>
    </w:r>
    <w:r w:rsidR="009F1C36" w:rsidRPr="009F1C36">
      <w:rPr>
        <w:rStyle w:val="PageNumber"/>
        <w:sz w:val="20"/>
      </w:rPr>
      <w:t xml:space="preserve">Page </w:t>
    </w:r>
    <w:r w:rsidR="009F1C36" w:rsidRPr="009F1C36">
      <w:rPr>
        <w:rStyle w:val="PageNumber"/>
        <w:sz w:val="20"/>
      </w:rPr>
      <w:fldChar w:fldCharType="begin"/>
    </w:r>
    <w:r w:rsidR="009F1C36" w:rsidRPr="009F1C36">
      <w:rPr>
        <w:rStyle w:val="PageNumber"/>
        <w:sz w:val="20"/>
      </w:rPr>
      <w:instrText xml:space="preserve"> PAGE </w:instrText>
    </w:r>
    <w:r w:rsidR="009F1C36">
      <w:rPr>
        <w:rStyle w:val="PageNumber"/>
        <w:sz w:val="20"/>
      </w:rPr>
      <w:fldChar w:fldCharType="separate"/>
    </w:r>
    <w:r w:rsidR="00C3401A">
      <w:rPr>
        <w:rStyle w:val="PageNumber"/>
        <w:noProof/>
        <w:sz w:val="20"/>
      </w:rPr>
      <w:t>1</w:t>
    </w:r>
    <w:r w:rsidR="009F1C36" w:rsidRPr="009F1C36">
      <w:rPr>
        <w:rStyle w:val="PageNumber"/>
        <w:sz w:val="20"/>
      </w:rPr>
      <w:fldChar w:fldCharType="end"/>
    </w:r>
    <w:r w:rsidR="009F1C36" w:rsidRPr="009F1C36">
      <w:rPr>
        <w:rStyle w:val="PageNumber"/>
        <w:sz w:val="20"/>
      </w:rPr>
      <w:t xml:space="preserve"> of </w:t>
    </w:r>
    <w:r w:rsidR="009F1C36" w:rsidRPr="009F1C36">
      <w:rPr>
        <w:rStyle w:val="PageNumber"/>
        <w:sz w:val="20"/>
      </w:rPr>
      <w:fldChar w:fldCharType="begin"/>
    </w:r>
    <w:r w:rsidR="009F1C36" w:rsidRPr="009F1C36">
      <w:rPr>
        <w:rStyle w:val="PageNumber"/>
        <w:sz w:val="20"/>
      </w:rPr>
      <w:instrText xml:space="preserve"> NUMPAGES </w:instrText>
    </w:r>
    <w:r w:rsidR="009F1C36">
      <w:rPr>
        <w:rStyle w:val="PageNumber"/>
        <w:sz w:val="20"/>
      </w:rPr>
      <w:fldChar w:fldCharType="separate"/>
    </w:r>
    <w:r w:rsidR="00C3401A">
      <w:rPr>
        <w:rStyle w:val="PageNumber"/>
        <w:noProof/>
        <w:sz w:val="20"/>
      </w:rPr>
      <w:t>2</w:t>
    </w:r>
    <w:r w:rsidR="009F1C36" w:rsidRPr="009F1C36">
      <w:rPr>
        <w:rStyle w:val="PageNumber"/>
        <w:sz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46B14"/>
    <w:multiLevelType w:val="multilevel"/>
    <w:tmpl w:val="0809001D"/>
    <w:styleLink w:val="1ai"/>
    <w:lvl w:ilvl="0">
      <w:start w:val="1"/>
      <w:numFmt w:val="lowerLetter"/>
      <w:lvlText w:val="%1"/>
      <w:lvlJc w:val="left"/>
      <w:pPr>
        <w:tabs>
          <w:tab w:val="num" w:pos="360"/>
        </w:tabs>
        <w:ind w:left="360" w:hanging="360"/>
      </w:pPr>
      <w:rPr>
        <w:rFonts w:ascii="Arial" w:hAnsi="Arial" w:hint="default"/>
        <w:b/>
        <w:sz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B446E54"/>
    <w:multiLevelType w:val="multilevel"/>
    <w:tmpl w:val="22AC77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B2E7653"/>
    <w:multiLevelType w:val="hybridMultilevel"/>
    <w:tmpl w:val="22AC775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D395600"/>
    <w:multiLevelType w:val="hybridMultilevel"/>
    <w:tmpl w:val="9B04595A"/>
    <w:lvl w:ilvl="0" w:tplc="FDBEE8D2">
      <w:start w:val="1"/>
      <w:numFmt w:val="decimal"/>
      <w:lvlText w:val="%1."/>
      <w:lvlJc w:val="left"/>
      <w:pPr>
        <w:tabs>
          <w:tab w:val="num" w:pos="637"/>
        </w:tabs>
        <w:ind w:left="63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5C53F94"/>
    <w:multiLevelType w:val="hybridMultilevel"/>
    <w:tmpl w:val="C91E369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nsid w:val="49C13A40"/>
    <w:multiLevelType w:val="multilevel"/>
    <w:tmpl w:val="9B04595A"/>
    <w:lvl w:ilvl="0">
      <w:start w:val="1"/>
      <w:numFmt w:val="decimal"/>
      <w:lvlText w:val="%1."/>
      <w:lvlJc w:val="left"/>
      <w:pPr>
        <w:tabs>
          <w:tab w:val="num" w:pos="637"/>
        </w:tabs>
        <w:ind w:left="63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A126056"/>
    <w:multiLevelType w:val="multilevel"/>
    <w:tmpl w:val="C91E369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5ACF10E5"/>
    <w:multiLevelType w:val="hybridMultilevel"/>
    <w:tmpl w:val="AE6AAD90"/>
    <w:lvl w:ilvl="0" w:tplc="4EDE1D64">
      <w:start w:val="1"/>
      <w:numFmt w:val="bullet"/>
      <w:lvlText w:val=""/>
      <w:lvlJc w:val="left"/>
      <w:pPr>
        <w:tabs>
          <w:tab w:val="num" w:pos="340"/>
        </w:tabs>
        <w:ind w:left="340" w:hanging="34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FA804FD"/>
    <w:multiLevelType w:val="multilevel"/>
    <w:tmpl w:val="0AE8EB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60D22B64"/>
    <w:multiLevelType w:val="hybridMultilevel"/>
    <w:tmpl w:val="BE8A6DE6"/>
    <w:lvl w:ilvl="0" w:tplc="FDBEE8D2">
      <w:start w:val="1"/>
      <w:numFmt w:val="decimal"/>
      <w:lvlText w:val="%1."/>
      <w:lvlJc w:val="left"/>
      <w:pPr>
        <w:tabs>
          <w:tab w:val="num" w:pos="637"/>
        </w:tabs>
        <w:ind w:left="63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696341BF"/>
    <w:multiLevelType w:val="multilevel"/>
    <w:tmpl w:val="0809001D"/>
    <w:numStyleLink w:val="1ai"/>
  </w:abstractNum>
  <w:abstractNum w:abstractNumId="11">
    <w:nsid w:val="698D0392"/>
    <w:multiLevelType w:val="hybridMultilevel"/>
    <w:tmpl w:val="67A6C68A"/>
    <w:lvl w:ilvl="0" w:tplc="248C96FA">
      <w:start w:val="1"/>
      <w:numFmt w:val="decimal"/>
      <w:lvlText w:val="%1"/>
      <w:lvlJc w:val="left"/>
      <w:pPr>
        <w:tabs>
          <w:tab w:val="num" w:pos="567"/>
        </w:tabs>
        <w:ind w:left="567" w:hanging="567"/>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6DEA01F4"/>
    <w:multiLevelType w:val="singleLevel"/>
    <w:tmpl w:val="248C96FA"/>
    <w:lvl w:ilvl="0">
      <w:start w:val="1"/>
      <w:numFmt w:val="decimal"/>
      <w:lvlText w:val="%1"/>
      <w:lvlJc w:val="left"/>
      <w:pPr>
        <w:tabs>
          <w:tab w:val="num" w:pos="567"/>
        </w:tabs>
        <w:ind w:left="567" w:hanging="567"/>
      </w:pPr>
      <w:rPr>
        <w:rFonts w:hint="default"/>
        <w:b/>
        <w:i w:val="0"/>
        <w:sz w:val="22"/>
      </w:rPr>
    </w:lvl>
  </w:abstractNum>
  <w:abstractNum w:abstractNumId="13">
    <w:nsid w:val="716B6D17"/>
    <w:multiLevelType w:val="hybridMultilevel"/>
    <w:tmpl w:val="CED2CBF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0"/>
  </w:num>
  <w:num w:numId="2">
    <w:abstractNumId w:val="4"/>
  </w:num>
  <w:num w:numId="3">
    <w:abstractNumId w:val="6"/>
  </w:num>
  <w:num w:numId="4">
    <w:abstractNumId w:val="8"/>
  </w:num>
  <w:num w:numId="5">
    <w:abstractNumId w:val="0"/>
  </w:num>
  <w:num w:numId="6">
    <w:abstractNumId w:val="12"/>
  </w:num>
  <w:num w:numId="7">
    <w:abstractNumId w:val="3"/>
  </w:num>
  <w:num w:numId="8">
    <w:abstractNumId w:val="9"/>
  </w:num>
  <w:num w:numId="9">
    <w:abstractNumId w:val="13"/>
  </w:num>
  <w:num w:numId="10">
    <w:abstractNumId w:val="2"/>
  </w:num>
  <w:num w:numId="11">
    <w:abstractNumId w:val="1"/>
  </w:num>
  <w:num w:numId="12">
    <w:abstractNumId w:val="5"/>
  </w:num>
  <w:num w:numId="13">
    <w:abstractNumId w:val="11"/>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stylePaneFormatFilter w:val="3F01"/>
  <w:defaultTabStop w:val="720"/>
  <w:characterSpacingControl w:val="doNotCompress"/>
  <w:footnotePr>
    <w:footnote w:id="-1"/>
    <w:footnote w:id="0"/>
  </w:footnotePr>
  <w:endnotePr>
    <w:endnote w:id="-1"/>
    <w:endnote w:id="0"/>
  </w:endnotePr>
  <w:compat/>
  <w:rsids>
    <w:rsidRoot w:val="00C35510"/>
    <w:rsid w:val="0003217A"/>
    <w:rsid w:val="000348CE"/>
    <w:rsid w:val="000435BE"/>
    <w:rsid w:val="000437B6"/>
    <w:rsid w:val="00063EE8"/>
    <w:rsid w:val="000A1BA9"/>
    <w:rsid w:val="000A73C3"/>
    <w:rsid w:val="000F3C92"/>
    <w:rsid w:val="001011E0"/>
    <w:rsid w:val="00106A0A"/>
    <w:rsid w:val="00113717"/>
    <w:rsid w:val="0013247E"/>
    <w:rsid w:val="00153C95"/>
    <w:rsid w:val="00192F10"/>
    <w:rsid w:val="001954FF"/>
    <w:rsid w:val="001B1C5F"/>
    <w:rsid w:val="001F20DF"/>
    <w:rsid w:val="00236F6E"/>
    <w:rsid w:val="002976DB"/>
    <w:rsid w:val="002B1143"/>
    <w:rsid w:val="002D72D6"/>
    <w:rsid w:val="002E6A2D"/>
    <w:rsid w:val="003156D9"/>
    <w:rsid w:val="00337FA6"/>
    <w:rsid w:val="003911FA"/>
    <w:rsid w:val="003A5E9A"/>
    <w:rsid w:val="003C2ADC"/>
    <w:rsid w:val="003D2B43"/>
    <w:rsid w:val="003D5978"/>
    <w:rsid w:val="003D5F08"/>
    <w:rsid w:val="003D7FF0"/>
    <w:rsid w:val="00427F61"/>
    <w:rsid w:val="00443920"/>
    <w:rsid w:val="00471722"/>
    <w:rsid w:val="00472BE9"/>
    <w:rsid w:val="00496495"/>
    <w:rsid w:val="004A355B"/>
    <w:rsid w:val="00506CAF"/>
    <w:rsid w:val="005566E0"/>
    <w:rsid w:val="00567179"/>
    <w:rsid w:val="00583B04"/>
    <w:rsid w:val="005864B2"/>
    <w:rsid w:val="005965ED"/>
    <w:rsid w:val="005C632D"/>
    <w:rsid w:val="005F5821"/>
    <w:rsid w:val="00614788"/>
    <w:rsid w:val="0063124F"/>
    <w:rsid w:val="00644FBB"/>
    <w:rsid w:val="00693257"/>
    <w:rsid w:val="006B78C9"/>
    <w:rsid w:val="006D21E6"/>
    <w:rsid w:val="007102C0"/>
    <w:rsid w:val="007133FC"/>
    <w:rsid w:val="00737653"/>
    <w:rsid w:val="00762530"/>
    <w:rsid w:val="0079471B"/>
    <w:rsid w:val="007A27D9"/>
    <w:rsid w:val="007E240B"/>
    <w:rsid w:val="0081008D"/>
    <w:rsid w:val="00820ADE"/>
    <w:rsid w:val="00821094"/>
    <w:rsid w:val="00821317"/>
    <w:rsid w:val="00835E45"/>
    <w:rsid w:val="00844356"/>
    <w:rsid w:val="008445B4"/>
    <w:rsid w:val="0088523B"/>
    <w:rsid w:val="00892E20"/>
    <w:rsid w:val="00906DAA"/>
    <w:rsid w:val="00925043"/>
    <w:rsid w:val="00930589"/>
    <w:rsid w:val="00980398"/>
    <w:rsid w:val="00997C12"/>
    <w:rsid w:val="00997F60"/>
    <w:rsid w:val="009A0B70"/>
    <w:rsid w:val="009F1C36"/>
    <w:rsid w:val="00A00855"/>
    <w:rsid w:val="00A711A7"/>
    <w:rsid w:val="00A86DA6"/>
    <w:rsid w:val="00AC760E"/>
    <w:rsid w:val="00AF5F9E"/>
    <w:rsid w:val="00B10967"/>
    <w:rsid w:val="00B11D91"/>
    <w:rsid w:val="00B31DDA"/>
    <w:rsid w:val="00B431A0"/>
    <w:rsid w:val="00B74C5C"/>
    <w:rsid w:val="00BA4381"/>
    <w:rsid w:val="00BC4F20"/>
    <w:rsid w:val="00BD21F0"/>
    <w:rsid w:val="00BF38B6"/>
    <w:rsid w:val="00C03348"/>
    <w:rsid w:val="00C30CE9"/>
    <w:rsid w:val="00C3401A"/>
    <w:rsid w:val="00C35510"/>
    <w:rsid w:val="00C75A35"/>
    <w:rsid w:val="00CA3DE4"/>
    <w:rsid w:val="00D05384"/>
    <w:rsid w:val="00D14632"/>
    <w:rsid w:val="00D37934"/>
    <w:rsid w:val="00D76A81"/>
    <w:rsid w:val="00DD2D21"/>
    <w:rsid w:val="00DD4D04"/>
    <w:rsid w:val="00DE780E"/>
    <w:rsid w:val="00E20AEC"/>
    <w:rsid w:val="00E3014D"/>
    <w:rsid w:val="00EB6EFC"/>
    <w:rsid w:val="00F174F3"/>
    <w:rsid w:val="00F3251D"/>
    <w:rsid w:val="00F40879"/>
    <w:rsid w:val="00F51001"/>
    <w:rsid w:val="00F60868"/>
    <w:rsid w:val="00FA3096"/>
    <w:rsid w:val="00FE346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E45"/>
    <w:rPr>
      <w:rFonts w:ascii="Arial" w:hAnsi="Arial"/>
      <w:sz w:val="22"/>
      <w:szCs w:val="24"/>
    </w:rPr>
  </w:style>
  <w:style w:type="paragraph" w:styleId="Heading3">
    <w:name w:val="heading 3"/>
    <w:basedOn w:val="Normal"/>
    <w:next w:val="Normal"/>
    <w:qFormat/>
    <w:rsid w:val="003911FA"/>
    <w:pPr>
      <w:keepNext/>
      <w:spacing w:before="240" w:after="60"/>
      <w:outlineLvl w:val="2"/>
    </w:pPr>
    <w:rPr>
      <w:rFonts w:cs="Arial"/>
      <w:b/>
      <w:bCs/>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esChar">
    <w:name w:val="Notes Char"/>
    <w:basedOn w:val="Normal"/>
    <w:link w:val="NotesCharChar"/>
    <w:rsid w:val="005566E0"/>
    <w:rPr>
      <w:rFonts w:ascii="Comic Sans MS" w:hAnsi="Comic Sans MS" w:cs="Arial"/>
      <w:sz w:val="24"/>
      <w:szCs w:val="22"/>
    </w:rPr>
  </w:style>
  <w:style w:type="character" w:customStyle="1" w:styleId="NotesCharChar">
    <w:name w:val="Notes Char Char"/>
    <w:basedOn w:val="DefaultParagraphFont"/>
    <w:link w:val="NotesChar"/>
    <w:rsid w:val="00A86DA6"/>
    <w:rPr>
      <w:rFonts w:ascii="Comic Sans MS" w:hAnsi="Comic Sans MS" w:cs="Arial"/>
      <w:sz w:val="24"/>
      <w:szCs w:val="22"/>
      <w:lang w:val="en-GB" w:eastAsia="en-GB" w:bidi="ar-SA"/>
    </w:rPr>
  </w:style>
  <w:style w:type="paragraph" w:customStyle="1" w:styleId="Notes">
    <w:name w:val="Notes"/>
    <w:basedOn w:val="Normal"/>
    <w:link w:val="NotesChar1"/>
    <w:rsid w:val="00A86DA6"/>
    <w:rPr>
      <w:rFonts w:ascii="Comic Sans MS" w:hAnsi="Comic Sans MS" w:cs="Arial"/>
      <w:sz w:val="24"/>
      <w:szCs w:val="22"/>
    </w:rPr>
  </w:style>
  <w:style w:type="character" w:customStyle="1" w:styleId="NotesChar1">
    <w:name w:val="Notes Char1"/>
    <w:basedOn w:val="DefaultParagraphFont"/>
    <w:link w:val="Notes"/>
    <w:rsid w:val="00A86DA6"/>
    <w:rPr>
      <w:rFonts w:ascii="Comic Sans MS" w:hAnsi="Comic Sans MS" w:cs="Arial"/>
      <w:sz w:val="24"/>
      <w:szCs w:val="22"/>
      <w:lang w:val="en-GB" w:eastAsia="en-GB" w:bidi="ar-SA"/>
    </w:rPr>
  </w:style>
  <w:style w:type="table" w:styleId="TableGrid">
    <w:name w:val="Table Grid"/>
    <w:basedOn w:val="TableNormal"/>
    <w:rsid w:val="00C75A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ai">
    <w:name w:val="Outline List 1"/>
    <w:aliases w:val="procedure"/>
    <w:basedOn w:val="NoList"/>
    <w:rsid w:val="000F3C92"/>
    <w:pPr>
      <w:numPr>
        <w:numId w:val="5"/>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Practical biology - student notes</vt:lpstr>
    </vt:vector>
  </TitlesOfParts>
  <Company>Nuffield Curriculum Centre</Company>
  <LinksUpToDate>false</LinksUpToDate>
  <CharactersWithSpaces>3235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Practical biology - student notes</dc:title>
  <dc:creator>Carol Levick</dc:creator>
  <cp:lastModifiedBy>tempuser1</cp:lastModifiedBy>
  <cp:revision>2</cp:revision>
  <cp:lastPrinted>2007-07-03T10:19:00Z</cp:lastPrinted>
  <dcterms:created xsi:type="dcterms:W3CDTF">2011-11-15T14:58:00Z</dcterms:created>
  <dcterms:modified xsi:type="dcterms:W3CDTF">2011-11-15T14:58:00Z</dcterms:modified>
</cp:coreProperties>
</file>